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311ABC0" w:rsidR="005053AB" w:rsidRPr="00862CFC" w:rsidRDefault="001067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SUSTENTABLE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5381F6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D0C5A44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ACD-0908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DEF913B" w:rsidR="005053AB" w:rsidRPr="00862CFC" w:rsidRDefault="001024C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7D6DE031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La intención de esta asignatura es que el egresado adopte valores y actitudes humanistas,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que lo lleven a vivir y ejercer profesionalmente de acuerdo con principios orientados hacia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la sustentabilidad, la cual es el factor medular de la dimensión filosófica del SNIT.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pretende, entonces, la formación de ciudadanos con valores de justicia social, equidad,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respeto y cuidado del entorno físico y biológico, capaces de afrontar, desde su ámbito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profesional, las necesidades emergentes del desarrollo y los desafíos que se presentan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los escenarios natural, social-cultural y económico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CEF0F13" w:rsidR="005053AB" w:rsidRPr="00862CFC" w:rsidRDefault="001024C5" w:rsidP="001024C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024C5">
              <w:rPr>
                <w:rFonts w:ascii="Arial" w:hAnsi="Arial" w:cs="Arial"/>
                <w:sz w:val="20"/>
                <w:szCs w:val="20"/>
              </w:rPr>
              <w:t>Debido a la trascendencia de esta materia en la formación integral del estudiante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necesario que el docente como ejemplo a seguir, participe y conozca actividades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investigación, desarrollo tecnológico, innovación, gestión, y vinculación con los sectores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sociales que pueden ser utilizados como casos de estudio de desarrollo sustentable en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4C5">
              <w:rPr>
                <w:rFonts w:ascii="Arial" w:hAnsi="Arial" w:cs="Arial"/>
                <w:sz w:val="20"/>
                <w:szCs w:val="20"/>
              </w:rPr>
              <w:t>localidad o región.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B6CEFA0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Aplica una visión sustentable, en los ámbitos social, económico y ambiental que 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permitirá evaluar y disminuir el impacto de la sociedad sobre el entorno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28E4EBB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6F57F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8D83B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027159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C33ED1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DCFD0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72A2A04" w14:textId="77777777" w:rsidR="00EA40D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9AB1EB" w14:textId="77777777" w:rsidR="00EA40DC" w:rsidRPr="00862CFC" w:rsidRDefault="00EA40D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4A875B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D31BD4C" w:rsidR="005053AB" w:rsidRPr="00862CF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E6E8FC4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Introducción al Desarrollo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Sustentable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0CBAAD8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1.1 Concepto de sustentabilidad.</w:t>
            </w:r>
          </w:p>
          <w:p w14:paraId="1065DAC4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1.2 Principios de la sustentabilidad.</w:t>
            </w:r>
          </w:p>
          <w:p w14:paraId="6ED640BE" w14:textId="2E8650D2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1.3 Dimensiones de la sustentabilidad</w:t>
            </w:r>
          </w:p>
        </w:tc>
        <w:tc>
          <w:tcPr>
            <w:tcW w:w="2599" w:type="dxa"/>
          </w:tcPr>
          <w:p w14:paraId="6FFF69AA" w14:textId="06B4B8C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Entiende el concepto de desarrollo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sustentabilidad a través del análisis de</w:t>
            </w:r>
          </w:p>
          <w:p w14:paraId="034D2AD8" w14:textId="58263BBF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40DC">
              <w:rPr>
                <w:rFonts w:ascii="Arial" w:hAnsi="Arial" w:cs="Arial"/>
                <w:sz w:val="20"/>
                <w:szCs w:val="20"/>
              </w:rPr>
              <w:t>conceptos</w:t>
            </w:r>
            <w:proofErr w:type="gramEnd"/>
            <w:r w:rsidRPr="00EA40DC">
              <w:rPr>
                <w:rFonts w:ascii="Arial" w:hAnsi="Arial" w:cs="Arial"/>
                <w:sz w:val="20"/>
                <w:szCs w:val="20"/>
              </w:rPr>
              <w:t>, utilizando técnicas escritas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como el ensayo o de un mapa conceptual.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715C43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1.3 Discutir los conceptos de economía,</w:t>
            </w:r>
          </w:p>
          <w:p w14:paraId="11ED4E3C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sociedad y naturaleza mediante análisis</w:t>
            </w:r>
          </w:p>
          <w:p w14:paraId="3D0E93A9" w14:textId="23BF64F0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40DC">
              <w:rPr>
                <w:rFonts w:ascii="Arial" w:hAnsi="Arial" w:cs="Arial"/>
                <w:sz w:val="20"/>
                <w:szCs w:val="20"/>
              </w:rPr>
              <w:t>grupales</w:t>
            </w:r>
            <w:proofErr w:type="gramEnd"/>
            <w:r w:rsidRPr="00EA40DC">
              <w:rPr>
                <w:rFonts w:ascii="Arial" w:hAnsi="Arial" w:cs="Arial"/>
                <w:sz w:val="20"/>
                <w:szCs w:val="20"/>
              </w:rPr>
              <w:t xml:space="preserve"> y presentar los resultados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plenaria. Para integrar las tres dimensiones;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en una definición de sustentabilidad</w:t>
            </w:r>
          </w:p>
          <w:p w14:paraId="734394E8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mediante el análisis del documento:</w:t>
            </w:r>
          </w:p>
          <w:p w14:paraId="02B4724F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 xml:space="preserve">“informe </w:t>
            </w:r>
            <w:proofErr w:type="spellStart"/>
            <w:r w:rsidRPr="00EA40DC">
              <w:rPr>
                <w:rFonts w:ascii="Arial" w:hAnsi="Arial" w:cs="Arial"/>
                <w:sz w:val="20"/>
                <w:szCs w:val="20"/>
              </w:rPr>
              <w:t>Brundtland</w:t>
            </w:r>
            <w:proofErr w:type="spellEnd"/>
            <w:r w:rsidRPr="00EA40DC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5F91F513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1.4 Identificar en su comunidad los</w:t>
            </w:r>
          </w:p>
          <w:p w14:paraId="7D73B277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escenarios de la sustentabilidad, mediante</w:t>
            </w:r>
          </w:p>
          <w:p w14:paraId="5A928AE5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40DC">
              <w:rPr>
                <w:rFonts w:ascii="Arial" w:hAnsi="Arial" w:cs="Arial"/>
                <w:sz w:val="20"/>
                <w:szCs w:val="20"/>
              </w:rPr>
              <w:t>un</w:t>
            </w:r>
            <w:proofErr w:type="gramEnd"/>
            <w:r w:rsidRPr="00EA40DC">
              <w:rPr>
                <w:rFonts w:ascii="Arial" w:hAnsi="Arial" w:cs="Arial"/>
                <w:sz w:val="20"/>
                <w:szCs w:val="20"/>
              </w:rPr>
              <w:t xml:space="preserve"> estudio de campo. Analiza sí estos</w:t>
            </w:r>
          </w:p>
          <w:p w14:paraId="42E76336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escenarios están presentes de manera</w:t>
            </w:r>
          </w:p>
          <w:p w14:paraId="29B3C389" w14:textId="41D5D74C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40DC">
              <w:rPr>
                <w:rFonts w:ascii="Arial" w:hAnsi="Arial" w:cs="Arial"/>
                <w:sz w:val="20"/>
                <w:szCs w:val="20"/>
              </w:rPr>
              <w:t>sistémica</w:t>
            </w:r>
            <w:proofErr w:type="gramEnd"/>
            <w:r w:rsidRPr="00EA40D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41E0110F" w14:textId="77777777" w:rsidR="005053AB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2CE51530" w:rsidR="00EA40DC" w:rsidRPr="00862CF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</w:tc>
        <w:tc>
          <w:tcPr>
            <w:tcW w:w="2599" w:type="dxa"/>
          </w:tcPr>
          <w:p w14:paraId="279129C2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Comprende adecuadamente los conceptos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principios de la sustentabilidad, para</w:t>
            </w:r>
          </w:p>
          <w:p w14:paraId="0315FF12" w14:textId="04250FB0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Integrar y contextualizar los conocimientos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adquiridos.</w:t>
            </w:r>
          </w:p>
          <w:p w14:paraId="7DE70AF6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Genéricas:</w:t>
            </w:r>
          </w:p>
          <w:p w14:paraId="43056D40" w14:textId="52A2EC4E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síntesis</w:t>
            </w:r>
          </w:p>
          <w:p w14:paraId="3A208CE2" w14:textId="76A594B5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Habilidades para buscar, procesar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0DC">
              <w:rPr>
                <w:rFonts w:ascii="Arial" w:hAnsi="Arial" w:cs="Arial"/>
                <w:sz w:val="20"/>
                <w:szCs w:val="20"/>
              </w:rPr>
              <w:t>analizar información procedente de</w:t>
            </w:r>
          </w:p>
          <w:p w14:paraId="0DC987BB" w14:textId="77777777" w:rsidR="00EA40DC" w:rsidRPr="00EA40D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diversas fuentes</w:t>
            </w:r>
          </w:p>
          <w:p w14:paraId="3B81E98E" w14:textId="4946D5F2" w:rsidR="005053AB" w:rsidRPr="00862CFC" w:rsidRDefault="00EA40DC" w:rsidP="00EA40D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A40DC">
              <w:rPr>
                <w:rFonts w:ascii="Arial" w:hAnsi="Arial" w:cs="Arial"/>
                <w:sz w:val="20"/>
                <w:szCs w:val="20"/>
              </w:rPr>
              <w:t>Capacidad de trabajar en equipo</w:t>
            </w:r>
          </w:p>
        </w:tc>
        <w:tc>
          <w:tcPr>
            <w:tcW w:w="2600" w:type="dxa"/>
          </w:tcPr>
          <w:p w14:paraId="57198BE6" w14:textId="128EAAB8" w:rsidR="005053AB" w:rsidRPr="00862CFC" w:rsidRDefault="00EA40D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4BFB4A09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01E0C29" w:rsidR="005053AB" w:rsidRPr="00233468" w:rsidRDefault="00EA40DC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el concepto de sustentabilidad</w:t>
            </w:r>
          </w:p>
        </w:tc>
        <w:tc>
          <w:tcPr>
            <w:tcW w:w="6498" w:type="dxa"/>
          </w:tcPr>
          <w:p w14:paraId="1E770817" w14:textId="311BFCBC" w:rsidR="000300FF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4226FCC" w:rsidR="00DE26A7" w:rsidRPr="00233468" w:rsidRDefault="00EA40DC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principios de sustentabilidad</w:t>
            </w:r>
          </w:p>
        </w:tc>
        <w:tc>
          <w:tcPr>
            <w:tcW w:w="6498" w:type="dxa"/>
          </w:tcPr>
          <w:p w14:paraId="76CEE991" w14:textId="19BB840D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37359155" w:rsidR="00DE26A7" w:rsidRPr="00233468" w:rsidRDefault="00EA40DC" w:rsidP="00643DEF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y entender las dimensiones de sustentabilidad</w:t>
            </w:r>
          </w:p>
        </w:tc>
        <w:tc>
          <w:tcPr>
            <w:tcW w:w="6498" w:type="dxa"/>
          </w:tcPr>
          <w:p w14:paraId="60A70194" w14:textId="49C5B2B3" w:rsidR="00DE26A7" w:rsidRPr="00862CFC" w:rsidRDefault="00643DE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3DEF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61B55922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3DEF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52969F6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3DE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0D2B878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3DE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EFB8C9D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3DEF" w:rsidRPr="00862CFC" w14:paraId="7DB6940C" w14:textId="77777777" w:rsidTr="00206F1D">
        <w:tc>
          <w:tcPr>
            <w:tcW w:w="3249" w:type="dxa"/>
          </w:tcPr>
          <w:p w14:paraId="34D87226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4E45A5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F4CF8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643DEF" w:rsidRPr="00862CFC" w:rsidRDefault="00643DEF" w:rsidP="00643D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108F35B2" w:rsidR="00055465" w:rsidRPr="00106009" w:rsidRDefault="00AA29F9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1385D14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4EDF37D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7A2C087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29C0C4C6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F2F9562" w:rsidR="00055465" w:rsidRPr="00106009" w:rsidRDefault="00AA29F9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A29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C8FCA37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Proyecto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A579C1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1CE19DD4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6960D05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3F9C112F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4ADA170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de investigación relacionada a los temas de la competencia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34D8D74" w:rsidR="00055465" w:rsidRDefault="00AA29F9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E0CC1D3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14C0759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89428DE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60132CD" w:rsidR="00055465" w:rsidRPr="00862CFC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Registro de entrega en tiempo de avances y entrega final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A74ABD2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8F06DE8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B53639" w:rsidR="00055465" w:rsidRPr="00106009" w:rsidRDefault="00AA29F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C200C0C" w14:textId="4748786A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Acuña, A., Aguilera, R., Aguayo, M., &amp; Azúcar, G. (2003). Conceptos básicos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medio ambie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AA29F9">
              <w:rPr>
                <w:rFonts w:ascii="Arial" w:hAnsi="Arial" w:cs="Arial"/>
                <w:sz w:val="20"/>
                <w:szCs w:val="20"/>
              </w:rPr>
              <w:t>te y desarrollo sustentable. Fondo de la cooperación técnica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República Federal Alemana.</w:t>
            </w:r>
          </w:p>
          <w:p w14:paraId="747B1F1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Academia Nacional de Educación Ambiental (ANEA)</w:t>
            </w:r>
          </w:p>
          <w:p w14:paraId="3265BE5B" w14:textId="42404F0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http://anea.org.mx/Documentos.htm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044477AA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 xml:space="preserve">Agenda 21 -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United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Nations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Division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Sustainable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Development</w:t>
            </w:r>
            <w:proofErr w:type="spellEnd"/>
          </w:p>
          <w:p w14:paraId="51AF56A0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>http://www.un.org/esa/sustdev/documents/agenda21/index.htm</w:t>
            </w:r>
          </w:p>
          <w:p w14:paraId="4E9B15DC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 xml:space="preserve">Alianza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Geografica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. http://www.alianzageografica.org/leccion.html</w:t>
            </w:r>
          </w:p>
          <w:p w14:paraId="2EA27BAE" w14:textId="77777777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Azqueta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, O. (2002). Introducción a la economía ambiental. Madrid: Mc Graw-Hill.</w:t>
            </w:r>
          </w:p>
          <w:p w14:paraId="6C341989" w14:textId="51CD3F3C" w:rsidR="00AA29F9" w:rsidRPr="00AA29F9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A29F9">
              <w:rPr>
                <w:rFonts w:ascii="Arial" w:hAnsi="Arial" w:cs="Arial"/>
                <w:sz w:val="20"/>
                <w:szCs w:val="20"/>
              </w:rPr>
              <w:t xml:space="preserve">Beltrán-Morales L.F., 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Urciaga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-García J.L. y Ortega-Rubio A. (</w:t>
            </w: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Eds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>). (2006). Desarrollo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sustentable ¿mito o realidad? Centro de Investigaciones Biológicas del Noroeste,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S.C. 272.</w:t>
            </w:r>
          </w:p>
          <w:p w14:paraId="1EEB8E80" w14:textId="7265B3DC" w:rsidR="00106009" w:rsidRPr="00862CFC" w:rsidRDefault="00AA29F9" w:rsidP="00AA29F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29F9">
              <w:rPr>
                <w:rFonts w:ascii="Arial" w:hAnsi="Arial" w:cs="Arial"/>
                <w:sz w:val="20"/>
                <w:szCs w:val="20"/>
              </w:rPr>
              <w:t>Brañes</w:t>
            </w:r>
            <w:proofErr w:type="spellEnd"/>
            <w:r w:rsidRPr="00AA29F9">
              <w:rPr>
                <w:rFonts w:ascii="Arial" w:hAnsi="Arial" w:cs="Arial"/>
                <w:sz w:val="20"/>
                <w:szCs w:val="20"/>
              </w:rPr>
              <w:t xml:space="preserve"> R. (2000). Manual de derecho ambiental mexicano. México, Editorial Fondo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29F9">
              <w:rPr>
                <w:rFonts w:ascii="Arial" w:hAnsi="Arial" w:cs="Arial"/>
                <w:sz w:val="20"/>
                <w:szCs w:val="20"/>
              </w:rPr>
              <w:t>Cultura Económica.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55242D7" w14:textId="77777777" w:rsidR="0010600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7FDB0F03" w14:textId="77777777" w:rsidR="00AA29F9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  <w:p w14:paraId="0975D7C2" w14:textId="3D778D79" w:rsidR="00AA29F9" w:rsidRPr="00862CFC" w:rsidRDefault="00AA29F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pizarron</w:t>
            </w:r>
            <w:proofErr w:type="spellEnd"/>
          </w:p>
        </w:tc>
      </w:tr>
    </w:tbl>
    <w:p w14:paraId="460D3269" w14:textId="11DBEF49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94"/>
        <w:gridCol w:w="794"/>
        <w:gridCol w:w="794"/>
        <w:gridCol w:w="758"/>
        <w:gridCol w:w="758"/>
        <w:gridCol w:w="758"/>
        <w:gridCol w:w="759"/>
        <w:gridCol w:w="759"/>
        <w:gridCol w:w="760"/>
        <w:gridCol w:w="761"/>
        <w:gridCol w:w="761"/>
        <w:gridCol w:w="761"/>
        <w:gridCol w:w="761"/>
        <w:gridCol w:w="761"/>
        <w:gridCol w:w="761"/>
        <w:gridCol w:w="761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2E7B3F83" w:rsidR="00862CFC" w:rsidRPr="00862CFC" w:rsidRDefault="00AA29F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0DF39E1D" w14:textId="4414C369" w:rsidR="00862CFC" w:rsidRPr="00862CFC" w:rsidRDefault="00AA29F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373DBFA0" w14:textId="6B997094" w:rsidR="00862CFC" w:rsidRPr="00862CFC" w:rsidRDefault="00AA29F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  <w:bookmarkStart w:id="0" w:name="_GoBack"/>
            <w:bookmarkEnd w:id="0"/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5F2C0" w14:textId="77777777" w:rsidR="00C457FF" w:rsidRDefault="00C457FF" w:rsidP="00862CFC">
      <w:pPr>
        <w:spacing w:after="0" w:line="240" w:lineRule="auto"/>
      </w:pPr>
      <w:r>
        <w:separator/>
      </w:r>
    </w:p>
  </w:endnote>
  <w:endnote w:type="continuationSeparator" w:id="0">
    <w:p w14:paraId="49BB3778" w14:textId="77777777" w:rsidR="00C457FF" w:rsidRDefault="00C457F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FBC6" w14:textId="77777777" w:rsidR="00C457FF" w:rsidRDefault="00C457FF" w:rsidP="00862CFC">
      <w:pPr>
        <w:spacing w:after="0" w:line="240" w:lineRule="auto"/>
      </w:pPr>
      <w:r>
        <w:separator/>
      </w:r>
    </w:p>
  </w:footnote>
  <w:footnote w:type="continuationSeparator" w:id="0">
    <w:p w14:paraId="6B62DF72" w14:textId="77777777" w:rsidR="00C457FF" w:rsidRDefault="00C457F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C457FF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396269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A29F9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A29F9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D7D1D"/>
    <w:multiLevelType w:val="hybridMultilevel"/>
    <w:tmpl w:val="35E2A2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24C5"/>
    <w:rsid w:val="00106009"/>
    <w:rsid w:val="001067AA"/>
    <w:rsid w:val="00160D9F"/>
    <w:rsid w:val="001D7549"/>
    <w:rsid w:val="00206F1D"/>
    <w:rsid w:val="00233468"/>
    <w:rsid w:val="00293FBE"/>
    <w:rsid w:val="00373659"/>
    <w:rsid w:val="00493A2D"/>
    <w:rsid w:val="004F065B"/>
    <w:rsid w:val="005053AB"/>
    <w:rsid w:val="00536B92"/>
    <w:rsid w:val="005624BE"/>
    <w:rsid w:val="0057748F"/>
    <w:rsid w:val="00593663"/>
    <w:rsid w:val="00643DEF"/>
    <w:rsid w:val="00744965"/>
    <w:rsid w:val="007A22EC"/>
    <w:rsid w:val="00824F18"/>
    <w:rsid w:val="00862CFC"/>
    <w:rsid w:val="00865C4A"/>
    <w:rsid w:val="008C7776"/>
    <w:rsid w:val="009905D5"/>
    <w:rsid w:val="00992C3B"/>
    <w:rsid w:val="00A37058"/>
    <w:rsid w:val="00A676AA"/>
    <w:rsid w:val="00AA29F9"/>
    <w:rsid w:val="00AD3509"/>
    <w:rsid w:val="00AE14E7"/>
    <w:rsid w:val="00B23CAE"/>
    <w:rsid w:val="00B31A95"/>
    <w:rsid w:val="00BA5082"/>
    <w:rsid w:val="00BE7924"/>
    <w:rsid w:val="00C127DC"/>
    <w:rsid w:val="00C2069A"/>
    <w:rsid w:val="00C457FF"/>
    <w:rsid w:val="00DC46A5"/>
    <w:rsid w:val="00DD7D08"/>
    <w:rsid w:val="00DE26A7"/>
    <w:rsid w:val="00EA40DC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2856</Words>
  <Characters>15714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2017-09-08T20:12:00Z</dcterms:created>
  <dcterms:modified xsi:type="dcterms:W3CDTF">2017-09-08T22:17:00Z</dcterms:modified>
</cp:coreProperties>
</file>